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C2727" w14:textId="6E9164D9" w:rsidR="00EF4C86" w:rsidRDefault="00EF4C86" w:rsidP="00A82AA3">
      <w:pPr>
        <w:spacing w:afterLines="60" w:after="144"/>
        <w:rPr>
          <w:rFonts w:ascii="Calibri Light" w:hAnsi="Calibri Light" w:cs="Arial"/>
          <w:b/>
          <w:color w:val="C00000"/>
          <w:sz w:val="28"/>
        </w:rPr>
      </w:pPr>
      <w:r w:rsidRPr="00203C75">
        <w:rPr>
          <w:rFonts w:ascii="Calibri Light" w:hAnsi="Calibri Light" w:cs="Arial"/>
          <w:b/>
          <w:color w:val="C00000"/>
          <w:sz w:val="28"/>
        </w:rPr>
        <w:t>ACTU WEB</w:t>
      </w:r>
      <w:r>
        <w:rPr>
          <w:rFonts w:ascii="Calibri Light" w:hAnsi="Calibri Light" w:cs="Arial"/>
          <w:b/>
          <w:color w:val="C00000"/>
          <w:sz w:val="28"/>
        </w:rPr>
        <w:t xml:space="preserve"> – ETUDE LMC14 POUR LE LOUVRE-LENS</w:t>
      </w:r>
    </w:p>
    <w:p w14:paraId="7EADCE26" w14:textId="4EB743A2" w:rsidR="00F34A1D" w:rsidRPr="00E25FF7" w:rsidRDefault="0016626F" w:rsidP="00A82AA3">
      <w:pPr>
        <w:spacing w:afterLines="60" w:after="144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« </w:t>
      </w:r>
      <w:r w:rsidR="00F34A1D" w:rsidRPr="00E25FF7">
        <w:rPr>
          <w:b/>
          <w:color w:val="C00000"/>
          <w:sz w:val="32"/>
        </w:rPr>
        <w:t>Accord</w:t>
      </w:r>
      <w:r>
        <w:rPr>
          <w:b/>
          <w:color w:val="C00000"/>
          <w:sz w:val="32"/>
        </w:rPr>
        <w:t> »</w:t>
      </w:r>
      <w:r w:rsidR="00F34A1D" w:rsidRPr="00E25FF7">
        <w:rPr>
          <w:b/>
          <w:color w:val="C00000"/>
          <w:sz w:val="32"/>
        </w:rPr>
        <w:t xml:space="preserve"> </w:t>
      </w:r>
      <w:r w:rsidR="0015324A" w:rsidRPr="00E25FF7">
        <w:rPr>
          <w:b/>
          <w:color w:val="C00000"/>
          <w:sz w:val="32"/>
        </w:rPr>
        <w:t> majeur </w:t>
      </w:r>
      <w:r w:rsidR="00F34A1D" w:rsidRPr="00E25FF7">
        <w:rPr>
          <w:b/>
          <w:color w:val="C00000"/>
          <w:sz w:val="32"/>
        </w:rPr>
        <w:t xml:space="preserve">entre </w:t>
      </w:r>
      <w:r w:rsidR="00605797" w:rsidRPr="00E25FF7">
        <w:rPr>
          <w:b/>
          <w:color w:val="C00000"/>
          <w:sz w:val="32"/>
        </w:rPr>
        <w:t>c</w:t>
      </w:r>
      <w:r w:rsidR="00F34A1D" w:rsidRPr="00E25FF7">
        <w:rPr>
          <w:b/>
          <w:color w:val="C00000"/>
          <w:sz w:val="32"/>
        </w:rPr>
        <w:t>arbone 14 et musiques de l’Antiquité</w:t>
      </w:r>
    </w:p>
    <w:p w14:paraId="6CCA8741" w14:textId="3171D341" w:rsidR="00F34A1D" w:rsidRPr="0029529A" w:rsidRDefault="001C79D2" w:rsidP="00A82AA3">
      <w:pPr>
        <w:spacing w:afterLines="60" w:after="144"/>
        <w:jc w:val="both"/>
        <w:rPr>
          <w:b/>
        </w:rPr>
      </w:pPr>
      <w:r w:rsidRPr="0029529A">
        <w:rPr>
          <w:b/>
        </w:rPr>
        <w:t>Quinze instruments de musique de l’Égypte ancienne ont été daté</w:t>
      </w:r>
      <w:r w:rsidR="00703047" w:rsidRPr="0029529A">
        <w:rPr>
          <w:b/>
        </w:rPr>
        <w:t>s</w:t>
      </w:r>
      <w:r w:rsidRPr="0029529A">
        <w:rPr>
          <w:b/>
        </w:rPr>
        <w:t xml:space="preserve"> par le Laboratoire de mesure du carbone 14, </w:t>
      </w:r>
      <w:r w:rsidR="00F14880">
        <w:rPr>
          <w:b/>
        </w:rPr>
        <w:t>dans le cadre d’une</w:t>
      </w:r>
      <w:r w:rsidR="00F14880" w:rsidRPr="0029529A">
        <w:rPr>
          <w:b/>
        </w:rPr>
        <w:t xml:space="preserve"> </w:t>
      </w:r>
      <w:r w:rsidRPr="0029529A">
        <w:rPr>
          <w:b/>
        </w:rPr>
        <w:t xml:space="preserve">collaboration </w:t>
      </w:r>
      <w:r w:rsidR="00F14880">
        <w:rPr>
          <w:b/>
        </w:rPr>
        <w:t xml:space="preserve">scientifique </w:t>
      </w:r>
      <w:r w:rsidRPr="0029529A">
        <w:rPr>
          <w:b/>
        </w:rPr>
        <w:t>avec l’Institut français d’archéologie orientale du Caire</w:t>
      </w:r>
      <w:r w:rsidR="00F14880">
        <w:rPr>
          <w:b/>
        </w:rPr>
        <w:t>, le département des Antiquité égyptiennes du Louvre</w:t>
      </w:r>
      <w:r w:rsidRPr="0029529A">
        <w:rPr>
          <w:b/>
        </w:rPr>
        <w:t xml:space="preserve"> et le CNRS (</w:t>
      </w:r>
      <w:proofErr w:type="spellStart"/>
      <w:r w:rsidRPr="0029529A">
        <w:rPr>
          <w:b/>
        </w:rPr>
        <w:t>HiSoMA</w:t>
      </w:r>
      <w:proofErr w:type="spellEnd"/>
      <w:r w:rsidRPr="0029529A">
        <w:rPr>
          <w:b/>
        </w:rPr>
        <w:t>, UMR 5189). Ces instruments</w:t>
      </w:r>
      <w:r w:rsidR="004F681F" w:rsidRPr="0029529A">
        <w:rPr>
          <w:b/>
        </w:rPr>
        <w:t xml:space="preserve"> de musiques </w:t>
      </w:r>
      <w:r w:rsidRPr="0029529A">
        <w:rPr>
          <w:b/>
        </w:rPr>
        <w:t>composent</w:t>
      </w:r>
      <w:r w:rsidR="004F681F" w:rsidRPr="0029529A">
        <w:rPr>
          <w:b/>
        </w:rPr>
        <w:t xml:space="preserve">, parmi d’autres objets, </w:t>
      </w:r>
      <w:r w:rsidRPr="0029529A">
        <w:rPr>
          <w:b/>
        </w:rPr>
        <w:t>l</w:t>
      </w:r>
      <w:r w:rsidR="000907FA" w:rsidRPr="0029529A">
        <w:rPr>
          <w:b/>
        </w:rPr>
        <w:t>a nou</w:t>
      </w:r>
      <w:r w:rsidR="00931BC2" w:rsidRPr="0029529A">
        <w:rPr>
          <w:b/>
        </w:rPr>
        <w:t>velle exposition du Louvre-Lens</w:t>
      </w:r>
      <w:r w:rsidR="000907FA" w:rsidRPr="0029529A">
        <w:rPr>
          <w:b/>
        </w:rPr>
        <w:t xml:space="preserve"> « Musiques ! Échos de l’Antiquité  »</w:t>
      </w:r>
      <w:r w:rsidRPr="0029529A">
        <w:rPr>
          <w:b/>
        </w:rPr>
        <w:t>,</w:t>
      </w:r>
      <w:r w:rsidR="000907FA" w:rsidRPr="0029529A">
        <w:rPr>
          <w:b/>
        </w:rPr>
        <w:t xml:space="preserve"> un voyage passionnant à la découverte des musiques de l’Antiquité. </w:t>
      </w:r>
    </w:p>
    <w:p w14:paraId="30B3C7C5" w14:textId="331ADED8" w:rsidR="00292EBA" w:rsidRDefault="001E5E9B" w:rsidP="00A82AA3">
      <w:pPr>
        <w:spacing w:afterLines="60" w:after="144"/>
        <w:jc w:val="both"/>
      </w:pPr>
      <w:r w:rsidRPr="004E5C7D">
        <w:t xml:space="preserve">Des harpes et des </w:t>
      </w:r>
      <w:r w:rsidR="00EE1AB1">
        <w:t>« </w:t>
      </w:r>
      <w:r w:rsidRPr="004E5C7D">
        <w:t>claquoirs</w:t>
      </w:r>
      <w:r w:rsidR="00EE1AB1">
        <w:t> »</w:t>
      </w:r>
      <w:r w:rsidRPr="004E5C7D">
        <w:t xml:space="preserve"> (</w:t>
      </w:r>
      <w:r w:rsidR="00847B83" w:rsidRPr="004E5C7D">
        <w:t>sortes de</w:t>
      </w:r>
      <w:r w:rsidRPr="004E5C7D">
        <w:t xml:space="preserve"> castagnettes</w:t>
      </w:r>
      <w:r w:rsidR="00C430CE" w:rsidRPr="004E5C7D">
        <w:t>) en bois</w:t>
      </w:r>
      <w:r w:rsidR="00956B5D" w:rsidRPr="004E5C7D">
        <w:t xml:space="preserve">, </w:t>
      </w:r>
      <w:r w:rsidR="00C430CE" w:rsidRPr="004E5C7D">
        <w:t xml:space="preserve">des tambours en cuir et </w:t>
      </w:r>
      <w:r w:rsidR="0015324A">
        <w:t>peau</w:t>
      </w:r>
      <w:r w:rsidR="00977CCF">
        <w:t>,</w:t>
      </w:r>
      <w:r w:rsidR="0015324A">
        <w:t xml:space="preserve"> </w:t>
      </w:r>
      <w:r w:rsidR="00977CCF" w:rsidRPr="004E5C7D">
        <w:t>conservés au musée du Louvre</w:t>
      </w:r>
      <w:r w:rsidR="00977CCF">
        <w:t>, o</w:t>
      </w:r>
      <w:r w:rsidR="00C430CE" w:rsidRPr="004E5C7D">
        <w:t xml:space="preserve">nt pu être datés </w:t>
      </w:r>
      <w:r w:rsidR="00956B5D" w:rsidRPr="004E5C7D">
        <w:t xml:space="preserve">par la mesure du carbone 14 par spectrométrie de masse par accélérateur (SMA ARTEMIS). </w:t>
      </w:r>
      <w:r w:rsidR="000907FA" w:rsidRPr="004E5C7D">
        <w:t xml:space="preserve">Outre la détermination de leur </w:t>
      </w:r>
      <w:r w:rsidR="00966D39" w:rsidRPr="004E5C7D">
        <w:t xml:space="preserve">période </w:t>
      </w:r>
      <w:r w:rsidR="000907FA" w:rsidRPr="004E5C7D">
        <w:t>de fabrication –</w:t>
      </w:r>
      <w:r w:rsidR="00C430CE" w:rsidRPr="004E5C7D">
        <w:t xml:space="preserve"> pour la plupart </w:t>
      </w:r>
      <w:r w:rsidR="000907FA" w:rsidRPr="004E5C7D">
        <w:t xml:space="preserve">entre </w:t>
      </w:r>
      <w:r w:rsidR="00847B83" w:rsidRPr="004E5C7D">
        <w:t>le Nouvel Empire et la T</w:t>
      </w:r>
      <w:r w:rsidR="00292EBA" w:rsidRPr="004E5C7D">
        <w:t>roisième</w:t>
      </w:r>
      <w:r w:rsidR="00134760" w:rsidRPr="004E5C7D">
        <w:t xml:space="preserve"> Période intermédiaire (</w:t>
      </w:r>
      <w:r w:rsidR="00790D30">
        <w:t>entre</w:t>
      </w:r>
      <w:r w:rsidR="0015324A" w:rsidRPr="00790D30" w:rsidDel="0015324A">
        <w:t xml:space="preserve"> </w:t>
      </w:r>
      <w:r w:rsidR="00790D30" w:rsidRPr="00790D30">
        <w:t xml:space="preserve">1600 </w:t>
      </w:r>
      <w:r w:rsidR="00152609">
        <w:t xml:space="preserve">et </w:t>
      </w:r>
      <w:r w:rsidR="00134760" w:rsidRPr="004E5C7D">
        <w:t>66</w:t>
      </w:r>
      <w:r w:rsidR="00790D30">
        <w:t>0 av. J.-C.</w:t>
      </w:r>
      <w:r w:rsidR="00292EBA" w:rsidRPr="004E5C7D">
        <w:t>)</w:t>
      </w:r>
      <w:r w:rsidR="00907B83" w:rsidRPr="004E5C7D">
        <w:t xml:space="preserve"> </w:t>
      </w:r>
      <w:r w:rsidR="007C535E">
        <w:t>–</w:t>
      </w:r>
      <w:r w:rsidR="000907FA" w:rsidRPr="004E5C7D">
        <w:t xml:space="preserve"> les mesures </w:t>
      </w:r>
      <w:r w:rsidR="00977CCF">
        <w:t xml:space="preserve">réalisées </w:t>
      </w:r>
      <w:r w:rsidR="00BD664D">
        <w:t xml:space="preserve">au </w:t>
      </w:r>
      <w:r w:rsidR="00977CCF" w:rsidRPr="004E5C7D">
        <w:t>Laboratoire de mesure du carbone 14 (</w:t>
      </w:r>
      <w:r w:rsidR="00790D30" w:rsidRPr="004E5C7D">
        <w:t xml:space="preserve">Instrument National </w:t>
      </w:r>
      <w:r w:rsidR="00B37F16">
        <w:t xml:space="preserve">CEA, </w:t>
      </w:r>
      <w:r w:rsidR="00977CCF" w:rsidRPr="004E5C7D">
        <w:t>CNRS, IRSN, IRD, M</w:t>
      </w:r>
      <w:r w:rsidR="00B37F16">
        <w:t xml:space="preserve">inistère de la Culture et de la communication, </w:t>
      </w:r>
      <w:r w:rsidR="00EE5FCF">
        <w:t xml:space="preserve">et </w:t>
      </w:r>
      <w:r w:rsidR="00977CCF" w:rsidRPr="004E5C7D">
        <w:t>rattaché au LSCE)</w:t>
      </w:r>
      <w:r w:rsidR="00977CCF">
        <w:t xml:space="preserve"> </w:t>
      </w:r>
      <w:r w:rsidR="000907FA" w:rsidRPr="004E5C7D">
        <w:t xml:space="preserve">ont permis d’identifier les parties ajoutées ou restaurées au </w:t>
      </w:r>
      <w:r w:rsidR="00640528" w:rsidRPr="004E5C7D">
        <w:t>XIX</w:t>
      </w:r>
      <w:r w:rsidR="00640528" w:rsidRPr="004E5C7D">
        <w:rPr>
          <w:vertAlign w:val="superscript"/>
        </w:rPr>
        <w:t>e</w:t>
      </w:r>
      <w:r w:rsidR="000907FA" w:rsidRPr="004E5C7D">
        <w:rPr>
          <w:vertAlign w:val="superscript"/>
        </w:rPr>
        <w:t xml:space="preserve"> </w:t>
      </w:r>
      <w:r w:rsidR="000907FA" w:rsidRPr="004E5C7D">
        <w:t>siècle</w:t>
      </w:r>
      <w:r w:rsidR="000C2A70">
        <w:t>. C’est le cas</w:t>
      </w:r>
      <w:r w:rsidR="00BF44DF">
        <w:t>,</w:t>
      </w:r>
      <w:r w:rsidR="000C2A70">
        <w:t xml:space="preserve"> par exemple</w:t>
      </w:r>
      <w:r w:rsidR="00BF44DF">
        <w:t>,</w:t>
      </w:r>
      <w:r w:rsidR="000C2A70">
        <w:t xml:space="preserve"> </w:t>
      </w:r>
      <w:r w:rsidR="00BF44DF">
        <w:t xml:space="preserve">des cordes </w:t>
      </w:r>
      <w:r w:rsidR="000C2A70">
        <w:t>de la harpe</w:t>
      </w:r>
      <w:r w:rsidR="00931BC2" w:rsidRPr="004E5C7D">
        <w:t xml:space="preserve"> </w:t>
      </w:r>
      <w:r w:rsidR="00BF44DF">
        <w:t xml:space="preserve">égyptienne </w:t>
      </w:r>
      <w:r w:rsidR="00931BC2" w:rsidRPr="004E5C7D">
        <w:t>ci-dessous</w:t>
      </w:r>
      <w:r w:rsidR="000907FA" w:rsidRPr="004E5C7D">
        <w:t>.</w:t>
      </w:r>
      <w:r w:rsidR="00BD664D" w:rsidRPr="00BD664D">
        <w:t xml:space="preserve"> </w:t>
      </w:r>
      <w:r w:rsidR="00BD664D">
        <w:t>Le laboratoire a participé à l’ensemble des étapes nécessaire à la datation, du prélèvement à la mesure des isotopes du carbone en passant par la préparation chimique des échantillons.</w:t>
      </w:r>
    </w:p>
    <w:p w14:paraId="7C038D7B" w14:textId="47AC438E" w:rsidR="00292EBA" w:rsidRDefault="003A3BEB" w:rsidP="00A82AA3">
      <w:pPr>
        <w:pStyle w:val="Instructions"/>
        <w:spacing w:afterLines="60" w:after="144" w:line="276" w:lineRule="auto"/>
        <w:ind w:left="0"/>
        <w:rPr>
          <w:i w:val="0"/>
          <w:color w:val="auto"/>
        </w:rPr>
      </w:pPr>
      <w:r w:rsidRPr="00640528">
        <w:rPr>
          <w:i w:val="0"/>
          <w:color w:val="auto"/>
          <w:szCs w:val="22"/>
        </w:rPr>
        <w:t xml:space="preserve">Menées dans le cadre d’une démarche interdisciplinaire visant à appréhender </w:t>
      </w:r>
      <w:r w:rsidRPr="00640528">
        <w:rPr>
          <w:rFonts w:cstheme="majorHAnsi"/>
          <w:i w:val="0"/>
          <w:color w:val="auto"/>
          <w:szCs w:val="22"/>
        </w:rPr>
        <w:t>l’instrument de musique antique dans toute sa complexité,</w:t>
      </w:r>
      <w:r w:rsidRPr="00640528">
        <w:rPr>
          <w:i w:val="0"/>
          <w:color w:val="auto"/>
          <w:szCs w:val="22"/>
        </w:rPr>
        <w:t xml:space="preserve"> c</w:t>
      </w:r>
      <w:r w:rsidR="00292EBA" w:rsidRPr="00640528">
        <w:rPr>
          <w:i w:val="0"/>
          <w:color w:val="auto"/>
          <w:szCs w:val="22"/>
        </w:rPr>
        <w:t xml:space="preserve">es analyses </w:t>
      </w:r>
      <w:r w:rsidR="002E43DE" w:rsidRPr="00EC1F1A">
        <w:rPr>
          <w:i w:val="0"/>
          <w:color w:val="auto"/>
          <w:szCs w:val="22"/>
        </w:rPr>
        <w:t>appo</w:t>
      </w:r>
      <w:r w:rsidR="00126C50" w:rsidRPr="00EC1F1A">
        <w:rPr>
          <w:i w:val="0"/>
          <w:color w:val="auto"/>
          <w:szCs w:val="22"/>
        </w:rPr>
        <w:t>rtent</w:t>
      </w:r>
      <w:r w:rsidR="00292EBA" w:rsidRPr="00EC1F1A">
        <w:rPr>
          <w:i w:val="0"/>
          <w:color w:val="auto"/>
          <w:szCs w:val="22"/>
        </w:rPr>
        <w:t xml:space="preserve"> un éclairage</w:t>
      </w:r>
      <w:r w:rsidR="00966D39" w:rsidRPr="00640528">
        <w:rPr>
          <w:i w:val="0"/>
          <w:color w:val="auto"/>
          <w:szCs w:val="22"/>
        </w:rPr>
        <w:t xml:space="preserve"> unique</w:t>
      </w:r>
      <w:r w:rsidR="00292EBA" w:rsidRPr="00640528">
        <w:rPr>
          <w:i w:val="0"/>
          <w:color w:val="auto"/>
          <w:szCs w:val="22"/>
        </w:rPr>
        <w:t xml:space="preserve"> sur les périodes de fabrication</w:t>
      </w:r>
      <w:r w:rsidR="008C7BDB">
        <w:rPr>
          <w:i w:val="0"/>
          <w:color w:val="auto"/>
          <w:szCs w:val="22"/>
        </w:rPr>
        <w:t xml:space="preserve"> </w:t>
      </w:r>
      <w:r w:rsidR="00292EBA" w:rsidRPr="00640528">
        <w:rPr>
          <w:i w:val="0"/>
          <w:color w:val="auto"/>
          <w:szCs w:val="22"/>
        </w:rPr>
        <w:t>d</w:t>
      </w:r>
      <w:r w:rsidR="00966D39" w:rsidRPr="00640528">
        <w:rPr>
          <w:i w:val="0"/>
          <w:color w:val="auto"/>
          <w:szCs w:val="22"/>
        </w:rPr>
        <w:t>’</w:t>
      </w:r>
      <w:r w:rsidR="00292EBA" w:rsidRPr="00640528">
        <w:rPr>
          <w:i w:val="0"/>
          <w:color w:val="auto"/>
          <w:szCs w:val="22"/>
        </w:rPr>
        <w:t xml:space="preserve">objets </w:t>
      </w:r>
      <w:r w:rsidR="008C7BDB">
        <w:rPr>
          <w:i w:val="0"/>
          <w:color w:val="auto"/>
          <w:szCs w:val="22"/>
        </w:rPr>
        <w:t xml:space="preserve">de la culture matérielle </w:t>
      </w:r>
      <w:r w:rsidR="00966D39" w:rsidRPr="00640528">
        <w:rPr>
          <w:i w:val="0"/>
          <w:color w:val="auto"/>
          <w:szCs w:val="22"/>
        </w:rPr>
        <w:t xml:space="preserve">à </w:t>
      </w:r>
      <w:r w:rsidR="00685C96" w:rsidRPr="00640528">
        <w:rPr>
          <w:i w:val="0"/>
          <w:color w:val="auto"/>
          <w:szCs w:val="22"/>
        </w:rPr>
        <w:t xml:space="preserve">si </w:t>
      </w:r>
      <w:r w:rsidR="00292EBA" w:rsidRPr="00640528">
        <w:rPr>
          <w:i w:val="0"/>
          <w:color w:val="auto"/>
          <w:szCs w:val="22"/>
        </w:rPr>
        <w:t>haute valeur patrimoniale.</w:t>
      </w:r>
      <w:r w:rsidR="004E5C7D" w:rsidRPr="004E5C7D">
        <w:rPr>
          <w:i w:val="0"/>
          <w:color w:val="auto"/>
        </w:rPr>
        <w:t xml:space="preserve"> Un article du catalogue de l’exposition</w:t>
      </w:r>
      <w:r w:rsidR="0029529A">
        <w:rPr>
          <w:i w:val="0"/>
          <w:color w:val="auto"/>
        </w:rPr>
        <w:t xml:space="preserve"> </w:t>
      </w:r>
      <w:r w:rsidR="004E5C7D" w:rsidRPr="004E5C7D">
        <w:rPr>
          <w:i w:val="0"/>
          <w:color w:val="auto"/>
        </w:rPr>
        <w:t>présente en avant-première une partie des résultats avant la publication d'un article complet dans une revue scientifique</w:t>
      </w:r>
      <w:r w:rsidR="004E5C7D">
        <w:rPr>
          <w:i w:val="0"/>
          <w:color w:val="auto"/>
        </w:rPr>
        <w:t>.</w:t>
      </w:r>
    </w:p>
    <w:p w14:paraId="2F579B60" w14:textId="7E9ECB1A" w:rsidR="00790D30" w:rsidRDefault="001C79D2" w:rsidP="00A82AA3">
      <w:pPr>
        <w:spacing w:afterLines="60" w:after="144"/>
        <w:jc w:val="both"/>
      </w:pPr>
      <w:r w:rsidRPr="004E5C7D">
        <w:t xml:space="preserve">En adoptant la musique pour fil conducteur, </w:t>
      </w:r>
      <w:r>
        <w:t>l</w:t>
      </w:r>
      <w:r w:rsidRPr="004E5C7D">
        <w:t xml:space="preserve">a nouvelle exposition du Louvre-Lens « Musiques ! Échos de l’Antiquité » offre un </w:t>
      </w:r>
      <w:r w:rsidR="002657F2">
        <w:t>regard</w:t>
      </w:r>
      <w:r w:rsidRPr="004E5C7D">
        <w:t xml:space="preserve"> singulier sur les grandes civilisations antiques, tout en croisant histoire, archéologie, conservati</w:t>
      </w:r>
      <w:bookmarkStart w:id="0" w:name="_GoBack"/>
      <w:bookmarkEnd w:id="0"/>
      <w:r w:rsidRPr="004E5C7D">
        <w:t xml:space="preserve">on du patrimoine et recherche scientifique. </w:t>
      </w:r>
    </w:p>
    <w:p w14:paraId="4EF076BC" w14:textId="77777777" w:rsidR="0029529A" w:rsidRPr="00A82AA3" w:rsidRDefault="001C79D2" w:rsidP="00A82AA3">
      <w:pPr>
        <w:jc w:val="both"/>
        <w:rPr>
          <w:i/>
        </w:rPr>
      </w:pPr>
      <w:r w:rsidRPr="00A82AA3">
        <w:rPr>
          <w:i/>
        </w:rPr>
        <w:t xml:space="preserve">Pour en savoir plus : </w:t>
      </w:r>
    </w:p>
    <w:p w14:paraId="7A07E15C" w14:textId="17A158E2" w:rsidR="001C79D2" w:rsidRDefault="00B37F16" w:rsidP="00A82AA3">
      <w:pPr>
        <w:pStyle w:val="Paragraphedeliste"/>
        <w:numPr>
          <w:ilvl w:val="0"/>
          <w:numId w:val="1"/>
        </w:numPr>
      </w:pPr>
      <w:r>
        <w:t xml:space="preserve">Présentation de l’exposition : </w:t>
      </w:r>
      <w:hyperlink r:id="rId7" w:history="1">
        <w:r w:rsidR="007C535E">
          <w:rPr>
            <w:rStyle w:val="Lienhypertexte"/>
          </w:rPr>
          <w:t>http://www.snoeckpublishers.be/usite/snoeckpub_frbe/index.asp?p=914&amp;c=T6&amp;i=621</w:t>
        </w:r>
      </w:hyperlink>
      <w:r w:rsidR="007C535E">
        <w:t>.</w:t>
      </w:r>
    </w:p>
    <w:p w14:paraId="189E6E0F" w14:textId="022DF595" w:rsidR="00B37F16" w:rsidRDefault="00B37F16" w:rsidP="00A82AA3">
      <w:pPr>
        <w:pStyle w:val="Paragraphedeliste"/>
        <w:numPr>
          <w:ilvl w:val="0"/>
          <w:numId w:val="1"/>
        </w:numPr>
        <w:jc w:val="both"/>
      </w:pPr>
      <w:r>
        <w:t xml:space="preserve">Le site du Louvre – Lens : </w:t>
      </w:r>
      <w:hyperlink r:id="rId8" w:history="1">
        <w:r w:rsidRPr="00D21832">
          <w:rPr>
            <w:rStyle w:val="Lienhypertexte"/>
          </w:rPr>
          <w:t>http://www.louvrelens.fr/</w:t>
        </w:r>
      </w:hyperlink>
    </w:p>
    <w:p w14:paraId="4EFBB47C" w14:textId="05312AB2" w:rsidR="00A82AA3" w:rsidRDefault="00C430CE" w:rsidP="00BA18C7">
      <w:pPr>
        <w:jc w:val="center"/>
      </w:pPr>
      <w:r>
        <w:rPr>
          <w:noProof/>
          <w:lang w:eastAsia="fr-FR"/>
        </w:rPr>
        <w:drawing>
          <wp:inline distT="0" distB="0" distL="0" distR="0" wp14:anchorId="679EF607" wp14:editId="58515012">
            <wp:extent cx="2508250" cy="1612122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2463" b="6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1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BC2" w:rsidRPr="00931BC2">
        <w:rPr>
          <w:noProof/>
          <w:lang w:eastAsia="fr-FR"/>
        </w:rPr>
        <w:drawing>
          <wp:inline distT="0" distB="0" distL="0" distR="0" wp14:anchorId="4279A119" wp14:editId="5CCC4661">
            <wp:extent cx="841784" cy="1389413"/>
            <wp:effectExtent l="0" t="0" r="0" b="127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08" cy="14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AA3" w:rsidSect="003C4A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9760" w14:textId="77777777" w:rsidR="00B37F16" w:rsidRDefault="00B37F16" w:rsidP="00B37F16">
      <w:pPr>
        <w:spacing w:after="0" w:line="240" w:lineRule="auto"/>
      </w:pPr>
      <w:r>
        <w:separator/>
      </w:r>
    </w:p>
  </w:endnote>
  <w:endnote w:type="continuationSeparator" w:id="0">
    <w:p w14:paraId="4A8D8A90" w14:textId="77777777" w:rsidR="00B37F16" w:rsidRDefault="00B37F16" w:rsidP="00B3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9400" w14:textId="77777777" w:rsidR="00EC755D" w:rsidRDefault="00EC75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B4EAF" w14:textId="77777777" w:rsidR="00A82AA3" w:rsidRPr="00EC755D" w:rsidRDefault="00A82AA3" w:rsidP="00EC75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90DC" w14:textId="77777777" w:rsidR="00EC755D" w:rsidRDefault="00EC75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5CC8F" w14:textId="77777777" w:rsidR="00B37F16" w:rsidRDefault="00B37F16" w:rsidP="00B37F16">
      <w:pPr>
        <w:spacing w:after="0" w:line="240" w:lineRule="auto"/>
      </w:pPr>
      <w:r>
        <w:separator/>
      </w:r>
    </w:p>
  </w:footnote>
  <w:footnote w:type="continuationSeparator" w:id="0">
    <w:p w14:paraId="0802593E" w14:textId="77777777" w:rsidR="00B37F16" w:rsidRDefault="00B37F16" w:rsidP="00B3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C6DB" w14:textId="77777777" w:rsidR="00EC755D" w:rsidRDefault="00EC75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EA08" w14:textId="2A6A5C8D" w:rsidR="00B37F16" w:rsidRDefault="00B37F16" w:rsidP="00B37F1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65BD7B" wp14:editId="119208DA">
          <wp:simplePos x="0" y="0"/>
          <wp:positionH relativeFrom="column">
            <wp:posOffset>18415</wp:posOffset>
          </wp:positionH>
          <wp:positionV relativeFrom="paragraph">
            <wp:posOffset>-215900</wp:posOffset>
          </wp:positionV>
          <wp:extent cx="890905" cy="727075"/>
          <wp:effectExtent l="0" t="0" r="4445" b="0"/>
          <wp:wrapNone/>
          <wp:docPr id="3" name="Image 3" descr="Y:\COMMUN-DCOM\Groupes\Presse\LOGOS et CHARTE CEA\CEA_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Y:\COMMUN-DCOM\Groupes\Presse\LOGOS et CHARTE CEA\CEA_logo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Document de travail</w:t>
    </w:r>
  </w:p>
  <w:p w14:paraId="6C790048" w14:textId="77777777" w:rsidR="00B37F16" w:rsidRDefault="00B37F16" w:rsidP="00B37F16">
    <w:pPr>
      <w:pStyle w:val="En-tte"/>
      <w:jc w:val="center"/>
    </w:pPr>
  </w:p>
  <w:p w14:paraId="790CC004" w14:textId="77777777" w:rsidR="00B37F16" w:rsidRDefault="00B37F16" w:rsidP="00B37F16">
    <w:pPr>
      <w:pStyle w:val="En-tte"/>
      <w:jc w:val="center"/>
    </w:pPr>
  </w:p>
  <w:p w14:paraId="79849556" w14:textId="77777777" w:rsidR="00B37F16" w:rsidRDefault="00B37F1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CC42" w14:textId="77777777" w:rsidR="00EC755D" w:rsidRDefault="00EC75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B6C63"/>
    <w:multiLevelType w:val="hybridMultilevel"/>
    <w:tmpl w:val="AE7A2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A"/>
    <w:rsid w:val="000051EB"/>
    <w:rsid w:val="00080A96"/>
    <w:rsid w:val="000907FA"/>
    <w:rsid w:val="000C2A70"/>
    <w:rsid w:val="000E4779"/>
    <w:rsid w:val="00126C50"/>
    <w:rsid w:val="00134760"/>
    <w:rsid w:val="00152609"/>
    <w:rsid w:val="0015324A"/>
    <w:rsid w:val="0016626F"/>
    <w:rsid w:val="0017224B"/>
    <w:rsid w:val="001C79D2"/>
    <w:rsid w:val="001D0DF3"/>
    <w:rsid w:val="001E5E9B"/>
    <w:rsid w:val="00257919"/>
    <w:rsid w:val="002657F2"/>
    <w:rsid w:val="00292EBA"/>
    <w:rsid w:val="0029529A"/>
    <w:rsid w:val="002B2E74"/>
    <w:rsid w:val="002E43DE"/>
    <w:rsid w:val="00353EE8"/>
    <w:rsid w:val="00372B9E"/>
    <w:rsid w:val="003A3BEB"/>
    <w:rsid w:val="003C4A70"/>
    <w:rsid w:val="00414101"/>
    <w:rsid w:val="00427044"/>
    <w:rsid w:val="004E5C7D"/>
    <w:rsid w:val="004F681F"/>
    <w:rsid w:val="005A753C"/>
    <w:rsid w:val="00605797"/>
    <w:rsid w:val="00640528"/>
    <w:rsid w:val="00685C96"/>
    <w:rsid w:val="006D4275"/>
    <w:rsid w:val="00703047"/>
    <w:rsid w:val="00790D30"/>
    <w:rsid w:val="007C535E"/>
    <w:rsid w:val="00847B83"/>
    <w:rsid w:val="008C7BDB"/>
    <w:rsid w:val="00907B83"/>
    <w:rsid w:val="00931BC2"/>
    <w:rsid w:val="00956B5D"/>
    <w:rsid w:val="00966D39"/>
    <w:rsid w:val="009755A4"/>
    <w:rsid w:val="00977CCF"/>
    <w:rsid w:val="009C62C2"/>
    <w:rsid w:val="00A82AA3"/>
    <w:rsid w:val="00B37F16"/>
    <w:rsid w:val="00BA18C7"/>
    <w:rsid w:val="00BD664D"/>
    <w:rsid w:val="00BF1F2B"/>
    <w:rsid w:val="00BF44DF"/>
    <w:rsid w:val="00C430CE"/>
    <w:rsid w:val="00CB50A4"/>
    <w:rsid w:val="00CE66B8"/>
    <w:rsid w:val="00D77B6F"/>
    <w:rsid w:val="00E25FF7"/>
    <w:rsid w:val="00E32869"/>
    <w:rsid w:val="00E45F18"/>
    <w:rsid w:val="00E91B0D"/>
    <w:rsid w:val="00EC1F1A"/>
    <w:rsid w:val="00EC755D"/>
    <w:rsid w:val="00EE1AB1"/>
    <w:rsid w:val="00EE5FCF"/>
    <w:rsid w:val="00EF4C86"/>
    <w:rsid w:val="00F14880"/>
    <w:rsid w:val="00F16CEC"/>
    <w:rsid w:val="00F34A1D"/>
    <w:rsid w:val="00F97495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877E86"/>
  <w15:docId w15:val="{EBEB6C1D-C9A5-4C29-B2E7-67AD6A1A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0CE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link w:val="InstructionsCar"/>
    <w:qFormat/>
    <w:rsid w:val="00292EBA"/>
    <w:pPr>
      <w:spacing w:after="0" w:line="240" w:lineRule="auto"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/>
    </w:rPr>
  </w:style>
  <w:style w:type="character" w:customStyle="1" w:styleId="InstructionsCar">
    <w:name w:val="Instructions Car"/>
    <w:link w:val="Instructions"/>
    <w:rsid w:val="00292EBA"/>
    <w:rPr>
      <w:rFonts w:ascii="Calibri" w:eastAsia="MS Mincho" w:hAnsi="Calibri" w:cs="Times New Roman"/>
      <w:i/>
      <w:color w:val="808080"/>
      <w:szCs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4E5C7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535E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D0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0D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0D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DF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3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F16"/>
  </w:style>
  <w:style w:type="paragraph" w:styleId="Pieddepage">
    <w:name w:val="footer"/>
    <w:basedOn w:val="Normal"/>
    <w:link w:val="PieddepageCar"/>
    <w:uiPriority w:val="99"/>
    <w:unhideWhenUsed/>
    <w:rsid w:val="00B3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F16"/>
  </w:style>
  <w:style w:type="paragraph" w:styleId="Paragraphedeliste">
    <w:name w:val="List Paragraph"/>
    <w:basedOn w:val="Normal"/>
    <w:uiPriority w:val="34"/>
    <w:qFormat/>
    <w:rsid w:val="00A8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vrelens.f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noeckpublishers.be/usite/snoeckpub_frbe/index.asp?p=914&amp;c=T6&amp;i=62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Lucile_1</dc:creator>
  <cp:lastModifiedBy>TILLY Nicolas</cp:lastModifiedBy>
  <cp:revision>17</cp:revision>
  <dcterms:created xsi:type="dcterms:W3CDTF">2017-10-05T13:14:00Z</dcterms:created>
  <dcterms:modified xsi:type="dcterms:W3CDTF">2017-10-16T08:15:00Z</dcterms:modified>
</cp:coreProperties>
</file>